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7573E08"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t>
      </w:r>
      <w:r w:rsidR="00AE4957" w:rsidRPr="003A41EF">
        <w:rPr>
          <w:bCs/>
          <w:noProof w:val="0"/>
          <w:sz w:val="24"/>
          <w:szCs w:val="24"/>
        </w:rPr>
        <w:t>WG</w:t>
      </w:r>
      <w:r w:rsidR="00AE4957">
        <w:rPr>
          <w:bCs/>
          <w:noProof w:val="0"/>
          <w:sz w:val="24"/>
          <w:szCs w:val="24"/>
        </w:rPr>
        <w:t>4</w:t>
      </w:r>
      <w:r w:rsidR="00AE4957" w:rsidRPr="003A41EF">
        <w:rPr>
          <w:bCs/>
          <w:noProof w:val="0"/>
          <w:sz w:val="24"/>
          <w:szCs w:val="24"/>
        </w:rPr>
        <w:t xml:space="preserve"> </w:t>
      </w:r>
      <w:r w:rsidRPr="003A41EF">
        <w:rPr>
          <w:bCs/>
          <w:noProof w:val="0"/>
          <w:sz w:val="24"/>
          <w:szCs w:val="24"/>
        </w:rPr>
        <w:t xml:space="preserve">Meeting </w:t>
      </w:r>
      <w:r w:rsidR="00F941DF">
        <w:rPr>
          <w:bCs/>
          <w:noProof w:val="0"/>
          <w:sz w:val="24"/>
          <w:szCs w:val="24"/>
        </w:rPr>
        <w:t>#</w:t>
      </w:r>
      <w:r w:rsidR="00AE4957">
        <w:rPr>
          <w:bCs/>
          <w:noProof w:val="0"/>
          <w:sz w:val="24"/>
          <w:szCs w:val="24"/>
        </w:rPr>
        <w:t>89</w:t>
      </w:r>
      <w:r w:rsidR="00CD4C7B" w:rsidRPr="00B266B0">
        <w:rPr>
          <w:bCs/>
          <w:noProof w:val="0"/>
          <w:sz w:val="24"/>
          <w:szCs w:val="24"/>
        </w:rPr>
        <w:tab/>
      </w:r>
      <w:r w:rsidR="00AE4957" w:rsidRPr="00B266B0">
        <w:rPr>
          <w:rFonts w:hint="eastAsia"/>
          <w:bCs/>
          <w:noProof w:val="0"/>
          <w:sz w:val="24"/>
          <w:szCs w:val="24"/>
        </w:rPr>
        <w:t>R</w:t>
      </w:r>
      <w:r w:rsidR="00AE4957">
        <w:rPr>
          <w:bCs/>
          <w:noProof w:val="0"/>
          <w:sz w:val="24"/>
          <w:szCs w:val="24"/>
        </w:rPr>
        <w:t>4</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697030">
        <w:rPr>
          <w:bCs/>
          <w:noProof w:val="0"/>
          <w:sz w:val="24"/>
          <w:szCs w:val="24"/>
        </w:rPr>
        <w:t>14859</w:t>
      </w:r>
    </w:p>
    <w:p w14:paraId="231362B2" w14:textId="75E271CE"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308CEA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1F08">
        <w:rPr>
          <w:rFonts w:cs="Arial"/>
          <w:b/>
          <w:bCs/>
          <w:sz w:val="24"/>
          <w:lang w:eastAsia="ja-JP"/>
        </w:rPr>
        <w:t>7.5.1</w:t>
      </w:r>
      <w:r w:rsidR="00AE4957">
        <w:rPr>
          <w:rFonts w:cs="Arial"/>
          <w:b/>
          <w:bCs/>
          <w:sz w:val="24"/>
          <w:lang w:eastAsia="ja-JP"/>
        </w:rPr>
        <w:t xml:space="preserve"> [</w:t>
      </w:r>
      <w:r w:rsidR="00AE4957" w:rsidRPr="00112F1A">
        <w:rPr>
          <w:rFonts w:cs="Arial"/>
          <w:b/>
          <w:bCs/>
          <w:sz w:val="24"/>
        </w:rPr>
        <w:t>NR_newRAT-Core</w:t>
      </w:r>
      <w:r w:rsidR="00AE4957">
        <w:rPr>
          <w:rFonts w:cs="Arial"/>
          <w:b/>
          <w:bCs/>
          <w:sz w:val="24"/>
        </w:rPr>
        <w:t>]</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34D13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528610770"/>
      <w:r w:rsidR="00123219">
        <w:rPr>
          <w:rFonts w:ascii="Arial" w:hAnsi="Arial" w:cs="Arial"/>
          <w:b/>
          <w:bCs/>
          <w:sz w:val="24"/>
        </w:rPr>
        <w:t>Configuration of channel BW</w:t>
      </w:r>
      <w:r w:rsidR="002C7553">
        <w:rPr>
          <w:rFonts w:ascii="Arial" w:hAnsi="Arial" w:cs="Arial"/>
          <w:b/>
          <w:bCs/>
          <w:sz w:val="24"/>
        </w:rPr>
        <w:t xml:space="preserve"> in RRC</w:t>
      </w:r>
      <w:bookmarkEnd w:id="0"/>
    </w:p>
    <w:p w14:paraId="7DF86DB4" w14:textId="51FCED3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FFCFF49" w:rsidR="00CD4C7B" w:rsidRPr="006E13D1" w:rsidRDefault="00AE4957" w:rsidP="00CD4C7B">
      <w:r>
        <w:t xml:space="preserve">In this contribution, we </w:t>
      </w:r>
      <w:r w:rsidR="002C7553">
        <w:t>summarize the</w:t>
      </w:r>
      <w:r>
        <w:t xml:space="preserve"> RAN2 </w:t>
      </w:r>
      <w:r w:rsidR="002C7553">
        <w:t>signalling on channel bandwidths for the basis of RAN4 discussion.</w:t>
      </w:r>
    </w:p>
    <w:p w14:paraId="05C43E57" w14:textId="59932EA0" w:rsidR="000C60F4" w:rsidRPr="000C60F4" w:rsidRDefault="00CD4C7B" w:rsidP="00F11F08">
      <w:pPr>
        <w:pStyle w:val="Heading1"/>
      </w:pPr>
      <w:r w:rsidRPr="006E13D1">
        <w:t>2</w:t>
      </w:r>
      <w:r w:rsidRPr="006E13D1">
        <w:tab/>
      </w:r>
      <w:r w:rsidR="00123219">
        <w:t>Channel bandwidth configu</w:t>
      </w:r>
      <w:bookmarkStart w:id="1" w:name="_GoBack"/>
      <w:bookmarkEnd w:id="1"/>
      <w:r w:rsidR="00123219">
        <w:t>ration</w:t>
      </w:r>
    </w:p>
    <w:p w14:paraId="5565DBFD" w14:textId="21F0B389" w:rsidR="00757AB4" w:rsidRDefault="00757AB4" w:rsidP="00757AB4">
      <w:pPr>
        <w:pStyle w:val="Heading2"/>
      </w:pPr>
      <w:r>
        <w:t xml:space="preserve">2.1 </w:t>
      </w:r>
      <w:r>
        <w:tab/>
        <w:t>RAN2 LS on channel bandwidth</w:t>
      </w:r>
    </w:p>
    <w:p w14:paraId="5BF40391" w14:textId="27DA8A0F" w:rsidR="00123219" w:rsidRDefault="00123219" w:rsidP="00CD4C7B">
      <w:r>
        <w:t xml:space="preserve">As the RAN2 LS </w:t>
      </w:r>
      <w:r w:rsidR="00AE4957">
        <w:t>[1]</w:t>
      </w:r>
      <w:r>
        <w:t xml:space="preserve"> indicates, there are currently two separate bandwidth configurations: SCS-specific carrier bandwidth and BWP bandwidth. The RAN2 LS explains these as follows:</w:t>
      </w:r>
    </w:p>
    <w:p w14:paraId="5B5D6855" w14:textId="77777777" w:rsidR="00123219" w:rsidRDefault="00123219" w:rsidP="00123219">
      <w:pPr>
        <w:numPr>
          <w:ilvl w:val="0"/>
          <w:numId w:val="5"/>
        </w:numPr>
        <w:spacing w:after="0"/>
        <w:jc w:val="both"/>
        <w:rPr>
          <w:rFonts w:ascii="Arial" w:hAnsi="Arial" w:cs="Arial"/>
          <w:lang w:val="en-US" w:eastAsia="ja-JP"/>
        </w:rPr>
      </w:pPr>
      <w:r w:rsidRPr="00953B85">
        <w:rPr>
          <w:rFonts w:ascii="Arial" w:hAnsi="Arial" w:cs="Arial"/>
          <w:b/>
          <w:lang w:val="en-US" w:eastAsia="ja-JP"/>
        </w:rPr>
        <w:t xml:space="preserve">Bandwidth indicated by </w:t>
      </w:r>
      <w:r w:rsidRPr="00B169DF">
        <w:rPr>
          <w:rFonts w:ascii="Arial" w:hAnsi="Arial" w:cs="Arial"/>
          <w:b/>
          <w:i/>
          <w:lang w:val="en-US" w:eastAsia="ja-JP"/>
        </w:rPr>
        <w:t>carrierBandwidth</w:t>
      </w:r>
      <w:r w:rsidRPr="00B169DF">
        <w:rPr>
          <w:rFonts w:ascii="Arial" w:hAnsi="Arial" w:cs="Arial"/>
          <w:b/>
          <w:lang w:val="en-US" w:eastAsia="ja-JP"/>
        </w:rPr>
        <w:t xml:space="preserve"> </w:t>
      </w:r>
      <w:r>
        <w:rPr>
          <w:rFonts w:ascii="Arial" w:hAnsi="Arial" w:cs="Arial"/>
          <w:b/>
          <w:lang w:val="en-US" w:eastAsia="ja-JP"/>
        </w:rPr>
        <w:t>per</w:t>
      </w:r>
      <w:r w:rsidRPr="00B169DF">
        <w:rPr>
          <w:rFonts w:ascii="Arial" w:hAnsi="Arial" w:cs="Arial"/>
          <w:b/>
          <w:lang w:val="en-US" w:eastAsia="ja-JP"/>
        </w:rPr>
        <w:t xml:space="preserve"> SCS</w:t>
      </w:r>
      <w:r>
        <w:rPr>
          <w:rFonts w:ascii="Arial" w:hAnsi="Arial" w:cs="Arial"/>
          <w:b/>
          <w:lang w:val="en-US" w:eastAsia="ja-JP"/>
        </w:rPr>
        <w:t xml:space="preserve"> in </w:t>
      </w:r>
      <w:r w:rsidRPr="00786E89">
        <w:rPr>
          <w:rFonts w:ascii="Arial" w:hAnsi="Arial" w:cs="Arial"/>
          <w:b/>
          <w:i/>
          <w:lang w:val="en-US" w:eastAsia="ja-JP"/>
        </w:rPr>
        <w:t>SCS-SpecificCarrier</w:t>
      </w:r>
      <w:r>
        <w:rPr>
          <w:rFonts w:ascii="Arial" w:hAnsi="Arial" w:cs="Arial"/>
          <w:b/>
          <w:lang w:val="en-US" w:eastAsia="ja-JP"/>
        </w:rPr>
        <w:t xml:space="preserve"> of each serving cell</w:t>
      </w:r>
      <w:r w:rsidRPr="00B169DF">
        <w:rPr>
          <w:rFonts w:ascii="Arial" w:hAnsi="Arial" w:cs="Arial"/>
          <w:b/>
          <w:lang w:val="en-US" w:eastAsia="ja-JP"/>
        </w:rPr>
        <w:t>:</w:t>
      </w:r>
    </w:p>
    <w:p w14:paraId="29786A2F" w14:textId="77777777" w:rsidR="00123219" w:rsidRDefault="00123219" w:rsidP="00123219">
      <w:pPr>
        <w:numPr>
          <w:ilvl w:val="1"/>
          <w:numId w:val="5"/>
        </w:numPr>
        <w:spacing w:after="0"/>
        <w:jc w:val="both"/>
        <w:rPr>
          <w:rFonts w:ascii="Arial" w:hAnsi="Arial" w:cs="Arial"/>
          <w:lang w:val="en-US" w:eastAsia="ja-JP"/>
        </w:rPr>
      </w:pPr>
      <w:r>
        <w:rPr>
          <w:rFonts w:ascii="Arial" w:hAnsi="Arial" w:cs="Arial"/>
          <w:lang w:val="en-US" w:eastAsia="ja-JP"/>
        </w:rPr>
        <w:t>For PCell, cell specific parameter that is provided by</w:t>
      </w:r>
      <w:r w:rsidRPr="002E12BF">
        <w:rPr>
          <w:rFonts w:ascii="Arial" w:hAnsi="Arial" w:cs="Arial"/>
          <w:lang w:val="en-US" w:eastAsia="ja-JP"/>
        </w:rPr>
        <w:t xml:space="preserve"> </w:t>
      </w:r>
      <w:r>
        <w:rPr>
          <w:rFonts w:ascii="Arial" w:hAnsi="Arial" w:cs="Arial"/>
          <w:lang w:val="en-US" w:eastAsia="ja-JP"/>
        </w:rPr>
        <w:t xml:space="preserve">the IE </w:t>
      </w:r>
      <w:r w:rsidRPr="006B0005">
        <w:rPr>
          <w:rFonts w:ascii="Arial" w:hAnsi="Arial" w:cs="Arial"/>
          <w:i/>
          <w:lang w:val="en-US" w:eastAsia="ja-JP"/>
        </w:rPr>
        <w:t>ServingCellConfigCommonSIB</w:t>
      </w:r>
      <w:r>
        <w:rPr>
          <w:rFonts w:ascii="Arial" w:hAnsi="Arial" w:cs="Arial"/>
          <w:lang w:val="en-US" w:eastAsia="ja-JP"/>
        </w:rPr>
        <w:t xml:space="preserve"> in SIB1, and can be (re)configured by </w:t>
      </w:r>
      <w:r w:rsidRPr="002E12BF">
        <w:rPr>
          <w:rFonts w:ascii="Arial" w:hAnsi="Arial" w:cs="Arial"/>
          <w:lang w:val="en-US" w:eastAsia="ja-JP"/>
        </w:rPr>
        <w:t xml:space="preserve">dedicated signalling as part of the IE </w:t>
      </w:r>
      <w:r w:rsidRPr="002E12BF">
        <w:rPr>
          <w:rFonts w:ascii="Arial" w:hAnsi="Arial" w:cs="Arial"/>
          <w:i/>
          <w:lang w:val="en-US" w:eastAsia="ja-JP"/>
        </w:rPr>
        <w:t>ServingCellConfigCommon</w:t>
      </w:r>
      <w:r w:rsidRPr="002E12BF">
        <w:rPr>
          <w:rFonts w:ascii="Arial" w:hAnsi="Arial" w:cs="Arial"/>
          <w:lang w:val="en-US" w:eastAsia="ja-JP"/>
        </w:rPr>
        <w:t xml:space="preserve"> </w:t>
      </w:r>
      <w:r>
        <w:rPr>
          <w:rFonts w:ascii="Arial" w:hAnsi="Arial" w:cs="Arial"/>
          <w:lang w:val="en-US" w:eastAsia="ja-JP"/>
        </w:rPr>
        <w:t xml:space="preserve">which </w:t>
      </w:r>
      <w:r w:rsidRPr="002E12BF">
        <w:rPr>
          <w:rFonts w:ascii="Arial" w:hAnsi="Arial" w:cs="Arial"/>
          <w:lang w:val="en-US" w:eastAsia="ja-JP"/>
        </w:rPr>
        <w:t xml:space="preserve">contains the same information </w:t>
      </w:r>
      <w:r>
        <w:rPr>
          <w:rFonts w:ascii="Arial" w:hAnsi="Arial" w:cs="Arial"/>
          <w:lang w:val="en-US" w:eastAsia="ja-JP"/>
        </w:rPr>
        <w:t>as</w:t>
      </w:r>
      <w:r w:rsidRPr="002E12BF">
        <w:rPr>
          <w:rFonts w:ascii="Arial" w:hAnsi="Arial" w:cs="Arial"/>
          <w:lang w:val="en-US" w:eastAsia="ja-JP"/>
        </w:rPr>
        <w:t xml:space="preserve"> in SIB1.</w:t>
      </w:r>
    </w:p>
    <w:p w14:paraId="0B8E56BB" w14:textId="77777777" w:rsidR="00123219" w:rsidRDefault="00123219" w:rsidP="00123219">
      <w:pPr>
        <w:numPr>
          <w:ilvl w:val="1"/>
          <w:numId w:val="5"/>
        </w:numPr>
        <w:spacing w:after="0"/>
        <w:jc w:val="both"/>
        <w:rPr>
          <w:rFonts w:ascii="Arial" w:hAnsi="Arial" w:cs="Arial"/>
          <w:lang w:val="en-US" w:eastAsia="ja-JP"/>
        </w:rPr>
      </w:pPr>
      <w:r>
        <w:rPr>
          <w:rFonts w:ascii="Arial" w:hAnsi="Arial" w:cs="Arial" w:hint="eastAsia"/>
          <w:lang w:val="en-US" w:eastAsia="ja-JP"/>
        </w:rPr>
        <w:t>F</w:t>
      </w:r>
      <w:r>
        <w:rPr>
          <w:rFonts w:ascii="Arial" w:hAnsi="Arial" w:cs="Arial"/>
          <w:lang w:val="en-US" w:eastAsia="ja-JP"/>
        </w:rPr>
        <w:t xml:space="preserve">or PSCell and SCell, cell specific parameter that is provided by </w:t>
      </w:r>
      <w:r w:rsidRPr="002E12BF">
        <w:rPr>
          <w:rFonts w:ascii="Arial" w:hAnsi="Arial" w:cs="Arial"/>
          <w:lang w:val="en-US" w:eastAsia="ja-JP"/>
        </w:rPr>
        <w:t xml:space="preserve">dedicated signalling as part of the IE </w:t>
      </w:r>
      <w:r w:rsidRPr="002E12BF">
        <w:rPr>
          <w:rFonts w:ascii="Arial" w:hAnsi="Arial" w:cs="Arial"/>
          <w:i/>
          <w:lang w:val="en-US" w:eastAsia="ja-JP"/>
        </w:rPr>
        <w:t>ServingCellConfigCommon</w:t>
      </w:r>
      <w:r>
        <w:rPr>
          <w:rFonts w:ascii="Arial" w:hAnsi="Arial" w:cs="Arial"/>
          <w:lang w:val="en-US" w:eastAsia="ja-JP"/>
        </w:rPr>
        <w:t>,</w:t>
      </w:r>
      <w:r w:rsidRPr="002E12BF">
        <w:rPr>
          <w:rFonts w:ascii="Arial" w:hAnsi="Arial" w:cs="Arial"/>
          <w:lang w:val="en-US" w:eastAsia="ja-JP"/>
        </w:rPr>
        <w:t xml:space="preserve"> </w:t>
      </w:r>
      <w:r>
        <w:rPr>
          <w:rFonts w:ascii="Arial" w:hAnsi="Arial" w:cs="Arial"/>
          <w:lang w:val="en-US" w:eastAsia="ja-JP"/>
        </w:rPr>
        <w:t xml:space="preserve">which </w:t>
      </w:r>
      <w:r w:rsidRPr="002E12BF">
        <w:rPr>
          <w:rFonts w:ascii="Arial" w:hAnsi="Arial" w:cs="Arial"/>
          <w:lang w:val="en-US" w:eastAsia="ja-JP"/>
        </w:rPr>
        <w:t xml:space="preserve">contains the same information </w:t>
      </w:r>
      <w:r>
        <w:rPr>
          <w:rFonts w:ascii="Arial" w:hAnsi="Arial" w:cs="Arial"/>
          <w:lang w:val="en-US" w:eastAsia="ja-JP"/>
        </w:rPr>
        <w:t>as</w:t>
      </w:r>
      <w:r w:rsidRPr="002E12BF">
        <w:rPr>
          <w:rFonts w:ascii="Arial" w:hAnsi="Arial" w:cs="Arial"/>
          <w:lang w:val="en-US" w:eastAsia="ja-JP"/>
        </w:rPr>
        <w:t xml:space="preserve"> in SIB1 (if SIB1 is broadcast by the cell).</w:t>
      </w:r>
    </w:p>
    <w:p w14:paraId="6EA20C9D" w14:textId="77777777" w:rsidR="00123219" w:rsidRPr="002E12BF" w:rsidRDefault="00123219" w:rsidP="00123219">
      <w:pPr>
        <w:ind w:left="360"/>
        <w:jc w:val="both"/>
        <w:rPr>
          <w:rFonts w:ascii="Arial" w:hAnsi="Arial" w:cs="Arial"/>
          <w:lang w:val="en-US" w:eastAsia="ja-JP"/>
        </w:rPr>
      </w:pPr>
    </w:p>
    <w:p w14:paraId="59CAC437" w14:textId="77777777" w:rsidR="00123219" w:rsidRDefault="00123219" w:rsidP="00123219">
      <w:pPr>
        <w:numPr>
          <w:ilvl w:val="0"/>
          <w:numId w:val="5"/>
        </w:numPr>
        <w:spacing w:after="0"/>
        <w:jc w:val="both"/>
        <w:rPr>
          <w:rFonts w:ascii="Arial" w:hAnsi="Arial" w:cs="Arial"/>
          <w:lang w:val="en-US" w:eastAsia="ja-JP"/>
        </w:rPr>
      </w:pPr>
      <w:r w:rsidRPr="00953B85">
        <w:rPr>
          <w:rFonts w:ascii="Arial" w:hAnsi="Arial" w:cs="Arial"/>
          <w:b/>
          <w:lang w:val="en-US" w:eastAsia="ja-JP"/>
        </w:rPr>
        <w:t xml:space="preserve">Bandwidth indicated by </w:t>
      </w:r>
      <w:r w:rsidRPr="00B169DF">
        <w:rPr>
          <w:rFonts w:ascii="Arial" w:hAnsi="Arial" w:cs="Arial"/>
          <w:b/>
          <w:i/>
          <w:lang w:val="en-US" w:eastAsia="ja-JP"/>
        </w:rPr>
        <w:t>locationAndBandwidth</w:t>
      </w:r>
      <w:r w:rsidRPr="00B169DF">
        <w:rPr>
          <w:rFonts w:ascii="Arial" w:hAnsi="Arial" w:cs="Arial"/>
          <w:b/>
          <w:lang w:val="en-US" w:eastAsia="ja-JP"/>
        </w:rPr>
        <w:t xml:space="preserve"> </w:t>
      </w:r>
      <w:r>
        <w:rPr>
          <w:rFonts w:ascii="Arial" w:hAnsi="Arial" w:cs="Arial"/>
          <w:b/>
          <w:lang w:val="en-US" w:eastAsia="ja-JP"/>
        </w:rPr>
        <w:t>with</w:t>
      </w:r>
      <w:r w:rsidRPr="00B169DF">
        <w:rPr>
          <w:rFonts w:ascii="Arial" w:hAnsi="Arial" w:cs="Arial"/>
          <w:b/>
          <w:lang w:val="en-US" w:eastAsia="ja-JP"/>
        </w:rPr>
        <w:t>in BWP configuration</w:t>
      </w:r>
      <w:r>
        <w:rPr>
          <w:rFonts w:ascii="Arial" w:hAnsi="Arial" w:cs="Arial"/>
          <w:b/>
          <w:lang w:val="en-US" w:eastAsia="ja-JP"/>
        </w:rPr>
        <w:t xml:space="preserve"> of each serving cell</w:t>
      </w:r>
      <w:r w:rsidRPr="00B169DF">
        <w:rPr>
          <w:rFonts w:ascii="Arial" w:hAnsi="Arial" w:cs="Arial"/>
          <w:b/>
          <w:lang w:val="en-US" w:eastAsia="ja-JP"/>
        </w:rPr>
        <w:t>:</w:t>
      </w:r>
    </w:p>
    <w:p w14:paraId="52D66272" w14:textId="77777777" w:rsidR="00123219" w:rsidRDefault="00123219" w:rsidP="00123219">
      <w:pPr>
        <w:numPr>
          <w:ilvl w:val="1"/>
          <w:numId w:val="5"/>
        </w:numPr>
        <w:spacing w:after="0"/>
        <w:jc w:val="both"/>
        <w:rPr>
          <w:rFonts w:ascii="Arial" w:hAnsi="Arial" w:cs="Arial"/>
          <w:lang w:val="en-US" w:eastAsia="ja-JP"/>
        </w:rPr>
      </w:pPr>
      <w:r>
        <w:rPr>
          <w:rFonts w:ascii="Arial" w:hAnsi="Arial" w:cs="Arial"/>
          <w:lang w:val="en-US" w:eastAsia="ja-JP"/>
        </w:rPr>
        <w:t>For initial BWP, cell specific parameter that is provided by</w:t>
      </w:r>
      <w:r w:rsidRPr="002E12BF">
        <w:rPr>
          <w:rFonts w:ascii="Arial" w:hAnsi="Arial" w:cs="Arial"/>
          <w:lang w:val="en-US" w:eastAsia="ja-JP"/>
        </w:rPr>
        <w:t xml:space="preserve"> </w:t>
      </w:r>
      <w:r>
        <w:rPr>
          <w:rFonts w:ascii="Arial" w:hAnsi="Arial" w:cs="Arial"/>
          <w:lang w:val="en-US" w:eastAsia="ja-JP"/>
        </w:rPr>
        <w:t xml:space="preserve">the IE </w:t>
      </w:r>
      <w:r w:rsidRPr="005B3F3A">
        <w:rPr>
          <w:rFonts w:ascii="Arial" w:hAnsi="Arial" w:cs="Arial"/>
          <w:i/>
          <w:lang w:val="en-US" w:eastAsia="ja-JP"/>
        </w:rPr>
        <w:t>ServingCellConfigCommonSIB</w:t>
      </w:r>
      <w:r>
        <w:rPr>
          <w:rFonts w:ascii="Arial" w:hAnsi="Arial" w:cs="Arial"/>
          <w:lang w:val="en-US" w:eastAsia="ja-JP"/>
        </w:rPr>
        <w:t xml:space="preserve"> in SIB1, and can be (re)configured by</w:t>
      </w:r>
      <w:r w:rsidRPr="002E12BF">
        <w:rPr>
          <w:rFonts w:ascii="Arial" w:hAnsi="Arial" w:cs="Arial"/>
          <w:lang w:val="en-US" w:eastAsia="ja-JP"/>
        </w:rPr>
        <w:t xml:space="preserve"> dedicated signalling as part of the IE </w:t>
      </w:r>
      <w:r w:rsidRPr="002E12BF">
        <w:rPr>
          <w:rFonts w:ascii="Arial" w:hAnsi="Arial" w:cs="Arial"/>
          <w:i/>
          <w:lang w:val="en-US" w:eastAsia="ja-JP"/>
        </w:rPr>
        <w:t>ServingCellConfigCommon</w:t>
      </w:r>
      <w:r w:rsidRPr="002E12BF">
        <w:rPr>
          <w:rFonts w:ascii="Arial" w:hAnsi="Arial" w:cs="Arial"/>
          <w:lang w:val="en-US" w:eastAsia="ja-JP"/>
        </w:rPr>
        <w:t xml:space="preserve">, </w:t>
      </w:r>
      <w:r>
        <w:rPr>
          <w:rFonts w:ascii="Arial" w:hAnsi="Arial" w:cs="Arial"/>
          <w:lang w:val="en-US" w:eastAsia="ja-JP"/>
        </w:rPr>
        <w:t>which</w:t>
      </w:r>
      <w:r w:rsidRPr="002E12BF">
        <w:rPr>
          <w:rFonts w:ascii="Arial" w:hAnsi="Arial" w:cs="Arial"/>
          <w:lang w:val="en-US" w:eastAsia="ja-JP"/>
        </w:rPr>
        <w:t xml:space="preserve"> contains the same information </w:t>
      </w:r>
      <w:r>
        <w:rPr>
          <w:rFonts w:ascii="Arial" w:hAnsi="Arial" w:cs="Arial"/>
          <w:lang w:val="en-US" w:eastAsia="ja-JP"/>
        </w:rPr>
        <w:t xml:space="preserve">as </w:t>
      </w:r>
      <w:r w:rsidRPr="002E12BF">
        <w:rPr>
          <w:rFonts w:ascii="Arial" w:hAnsi="Arial" w:cs="Arial"/>
          <w:lang w:val="en-US" w:eastAsia="ja-JP"/>
        </w:rPr>
        <w:t xml:space="preserve">in SIB1. </w:t>
      </w:r>
    </w:p>
    <w:p w14:paraId="058BA1E9" w14:textId="77777777" w:rsidR="00123219" w:rsidRDefault="00123219" w:rsidP="00123219">
      <w:pPr>
        <w:numPr>
          <w:ilvl w:val="1"/>
          <w:numId w:val="5"/>
        </w:numPr>
        <w:spacing w:after="0"/>
        <w:jc w:val="both"/>
        <w:rPr>
          <w:rFonts w:ascii="Arial" w:hAnsi="Arial" w:cs="Arial"/>
          <w:lang w:val="en-US" w:eastAsia="ja-JP"/>
        </w:rPr>
      </w:pPr>
      <w:r>
        <w:rPr>
          <w:rFonts w:ascii="Arial" w:hAnsi="Arial" w:cs="Arial"/>
          <w:lang w:val="en-US" w:eastAsia="ja-JP"/>
        </w:rPr>
        <w:t xml:space="preserve">For other BWP, UE specific parameter provided by dedicated signaling as part of the IE </w:t>
      </w:r>
      <w:r w:rsidRPr="006B0005">
        <w:rPr>
          <w:rFonts w:ascii="Arial" w:hAnsi="Arial" w:cs="Arial"/>
          <w:i/>
          <w:lang w:val="en-US" w:eastAsia="ja-JP"/>
        </w:rPr>
        <w:t>ServingCellConfig</w:t>
      </w:r>
      <w:r>
        <w:rPr>
          <w:rFonts w:ascii="Arial" w:hAnsi="Arial" w:cs="Arial"/>
          <w:lang w:val="en-US" w:eastAsia="ja-JP"/>
        </w:rPr>
        <w:t>.</w:t>
      </w:r>
    </w:p>
    <w:p w14:paraId="2BC5B92B" w14:textId="77777777" w:rsidR="00123219" w:rsidRDefault="00123219" w:rsidP="00CD4C7B"/>
    <w:p w14:paraId="3884F67D" w14:textId="05EF22B7" w:rsidR="00CD4C7B" w:rsidRDefault="004E349F" w:rsidP="001B49C9">
      <w:r>
        <w:t xml:space="preserve">The original RAN4 LS </w:t>
      </w:r>
      <w:hyperlink r:id="rId7" w:history="1">
        <w:r w:rsidR="003F4D38" w:rsidRPr="003F4D38">
          <w:rPr>
            <w:rStyle w:val="Hyperlink"/>
          </w:rPr>
          <w:t>R4-1811905</w:t>
        </w:r>
      </w:hyperlink>
      <w:r w:rsidR="003F4D38">
        <w:t xml:space="preserve"> was sent to ask RAN2 to clarify how the bandwidth configuration is done so that UE can unambiguously determine the used channel bandwidth it needs to perform according to RF requirements defined in </w:t>
      </w:r>
      <w:hyperlink r:id="rId8" w:history="1">
        <w:r w:rsidR="003F4D38" w:rsidRPr="003F4D38">
          <w:rPr>
            <w:rStyle w:val="Hyperlink"/>
          </w:rPr>
          <w:t>TS 38.101-1</w:t>
        </w:r>
      </w:hyperlink>
      <w:r w:rsidR="003F4D38">
        <w:t xml:space="preserve"> and </w:t>
      </w:r>
      <w:hyperlink r:id="rId9" w:history="1">
        <w:r w:rsidR="003F4D38" w:rsidRPr="003F4D38">
          <w:rPr>
            <w:rStyle w:val="Hyperlink"/>
          </w:rPr>
          <w:t>TS 38.101-2</w:t>
        </w:r>
      </w:hyperlink>
      <w:r w:rsidR="003F4D38">
        <w:t xml:space="preserve">. Specifically, the question was how the UE is configured with channel bandwidth during </w:t>
      </w:r>
      <w:r w:rsidR="00033C74">
        <w:t xml:space="preserve">initial access and during </w:t>
      </w:r>
      <w:r w:rsidR="003F4D38">
        <w:t>CONNECTED mode</w:t>
      </w:r>
      <w:r w:rsidR="00033C74">
        <w:t>. Specifically, it was noted that it must be possible to (re)configure UE to use a different bandwidth during initial access (when UE capabilities are not yet known) and during CONNECTED mode (when UE capabilities are known).</w:t>
      </w:r>
    </w:p>
    <w:p w14:paraId="6405D6DA" w14:textId="3571C896" w:rsidR="00757AB4" w:rsidRDefault="00757AB4" w:rsidP="001B49C9">
      <w:r>
        <w:rPr>
          <w:b/>
        </w:rPr>
        <w:t>Observation 0</w:t>
      </w:r>
      <w:r w:rsidRPr="00F11F08">
        <w:rPr>
          <w:b/>
        </w:rPr>
        <w:t>:</w:t>
      </w:r>
      <w:r>
        <w:t xml:space="preserve"> RAN2 LS considers two cases: UE operation during initial access and UE operationg in RRC_CONNECTED</w:t>
      </w:r>
    </w:p>
    <w:p w14:paraId="77962CD3" w14:textId="76627189" w:rsidR="00033C74" w:rsidRPr="00F11F08" w:rsidRDefault="00757AB4" w:rsidP="00F11F08">
      <w:pPr>
        <w:pStyle w:val="Heading2"/>
      </w:pPr>
      <w:r>
        <w:t>2.2</w:t>
      </w:r>
      <w:r>
        <w:tab/>
      </w:r>
      <w:r w:rsidRPr="00757AB4">
        <w:t>UE bandwidth configuration during initial access</w:t>
      </w:r>
      <w:r>
        <w:t xml:space="preserve"> </w:t>
      </w:r>
    </w:p>
    <w:p w14:paraId="444C53C4" w14:textId="1836F482" w:rsidR="006D1FF2" w:rsidRDefault="006D1FF2" w:rsidP="001B49C9">
      <w:r>
        <w:t>When doing initial access, the UE channel bandwidth is determined slightly differently for UL and DL:</w:t>
      </w:r>
    </w:p>
    <w:p w14:paraId="58522018" w14:textId="6036EFA5" w:rsidR="006D1FF2" w:rsidRDefault="006D1FF2" w:rsidP="006D1FF2">
      <w:pPr>
        <w:pStyle w:val="ListParagraph"/>
        <w:numPr>
          <w:ilvl w:val="0"/>
          <w:numId w:val="6"/>
        </w:numPr>
      </w:pPr>
      <w:r w:rsidRPr="006D1FF2">
        <w:rPr>
          <w:b/>
        </w:rPr>
        <w:t>In downlink:</w:t>
      </w:r>
      <w:r>
        <w:t xml:space="preserve"> 1) Before Msg4, the DL BW is determined by two CORESET#0 configured in MIB and 2) After Msg4, UE start using the initial DL BWP bandwidth (given in SIB1 or reconfigured by network in Msg4)</w:t>
      </w:r>
    </w:p>
    <w:p w14:paraId="3694874D" w14:textId="53AE6A95" w:rsidR="006D1FF2" w:rsidRDefault="006D1FF2" w:rsidP="006D1FF2">
      <w:pPr>
        <w:pStyle w:val="ListParagraph"/>
        <w:numPr>
          <w:ilvl w:val="0"/>
          <w:numId w:val="6"/>
        </w:numPr>
      </w:pPr>
      <w:r w:rsidRPr="006D1FF2">
        <w:rPr>
          <w:b/>
        </w:rPr>
        <w:t>In uplink:</w:t>
      </w:r>
      <w:r>
        <w:t xml:space="preserve"> UE uses the initial UL BWP bandwidth (given in SIB1) to do initial access. The UL BWP may be reconfigured during Msg4, in which case it is taken into use immediately and used for sending Msg5</w:t>
      </w:r>
    </w:p>
    <w:p w14:paraId="653BC565" w14:textId="41686EC0" w:rsidR="006D1FF2" w:rsidRDefault="006D1FF2" w:rsidP="006D1FF2">
      <w:r>
        <w:lastRenderedPageBreak/>
        <w:t xml:space="preserve">The commonality in both cases is that </w:t>
      </w:r>
      <w:r w:rsidR="001C1C3E">
        <w:t xml:space="preserve">UE </w:t>
      </w:r>
      <w:r w:rsidR="00AE4957">
        <w:t>determines</w:t>
      </w:r>
      <w:r w:rsidR="001C1C3E">
        <w:t xml:space="preserve"> the used bandwidth based on broadcast information since </w:t>
      </w:r>
      <w:r>
        <w:t xml:space="preserve">network doesn’t know </w:t>
      </w:r>
      <w:r w:rsidR="001C1C3E">
        <w:t xml:space="preserve">the UE capabilities and therefore cannot signal a dedicated bandwidth configuration to UE. </w:t>
      </w:r>
      <w:r w:rsidR="008C1D41">
        <w:t>Network would also typically use the initial BWP bandwidth until it has received the UE capabilities, in which case it would know that any UE completing initial access can operate in the cell as long as its BWP is not changed from the initial BWP. Hence, UE can use the information based on the BWP configuration in MIB/SIB1.</w:t>
      </w:r>
    </w:p>
    <w:p w14:paraId="1C006732" w14:textId="5E6D9FB4" w:rsidR="001C1C3E" w:rsidRDefault="001C1C3E" w:rsidP="006D1FF2">
      <w:r w:rsidRPr="001C1C3E">
        <w:rPr>
          <w:b/>
        </w:rPr>
        <w:t>Observation 1:</w:t>
      </w:r>
      <w:r>
        <w:t xml:space="preserve"> During initial access, UE determines the used bandwidth based on BWP configuration provided in MIB/SIB1.</w:t>
      </w:r>
    </w:p>
    <w:p w14:paraId="6B7DE81C" w14:textId="79DE1C5B" w:rsidR="001C1C3E" w:rsidRDefault="001C1C3E" w:rsidP="006D1FF2">
      <w:r>
        <w:t xml:space="preserve">We would note that while the UE </w:t>
      </w:r>
      <w:r w:rsidR="0016139E">
        <w:t>has</w:t>
      </w:r>
      <w:r>
        <w:t xml:space="preserve"> access to the SCS-specific carrier bandwidth information, it is only used for determining the PRB grid </w:t>
      </w:r>
      <w:r w:rsidR="007F17A1">
        <w:t xml:space="preserve">for the SCS which the </w:t>
      </w:r>
      <w:r>
        <w:t xml:space="preserve">initial BWP </w:t>
      </w:r>
      <w:r w:rsidR="007F17A1">
        <w:t>is utilizing</w:t>
      </w:r>
      <w:r>
        <w:t xml:space="preserve">: For example, it is possible that the PRB grid is set according to the maximum </w:t>
      </w:r>
      <w:r w:rsidR="007F17A1">
        <w:t>PRBs, but the actual initial BWP bandwidth is somewhere in the middle as shown in Figure 1 below (note tha</w:t>
      </w:r>
      <w:r w:rsidR="00394FC4">
        <w:t>t</w:t>
      </w:r>
      <w:r w:rsidR="007F17A1">
        <w:t xml:space="preserve"> the number of PRBs is just representative and not </w:t>
      </w:r>
      <w:r w:rsidR="00757AB4">
        <w:t xml:space="preserve">meant to convey a particular case of </w:t>
      </w:r>
      <w:r w:rsidR="007F17A1">
        <w:t>actual</w:t>
      </w:r>
      <w:r w:rsidR="00757AB4">
        <w:t>ly</w:t>
      </w:r>
      <w:r w:rsidR="007F17A1">
        <w:t xml:space="preserve"> configurable </w:t>
      </w:r>
      <w:r w:rsidR="00757AB4">
        <w:t xml:space="preserve">PRB grid or BWP </w:t>
      </w:r>
      <w:r w:rsidR="007F17A1">
        <w:t>).</w:t>
      </w:r>
    </w:p>
    <w:p w14:paraId="7FA470A0" w14:textId="2F1BCEFA" w:rsidR="007F17A1" w:rsidRDefault="007F17A1" w:rsidP="006D1FF2">
      <w:r>
        <w:rPr>
          <w:noProof/>
        </w:rPr>
        <w:drawing>
          <wp:inline distT="0" distB="0" distL="0" distR="0" wp14:anchorId="204D612E" wp14:editId="5DB6A36C">
            <wp:extent cx="5890992" cy="130506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1309" cy="1318425"/>
                    </a:xfrm>
                    <a:prstGeom prst="rect">
                      <a:avLst/>
                    </a:prstGeom>
                    <a:noFill/>
                  </pic:spPr>
                </pic:pic>
              </a:graphicData>
            </a:graphic>
          </wp:inline>
        </w:drawing>
      </w:r>
    </w:p>
    <w:p w14:paraId="3340AF17" w14:textId="58F2B8DB" w:rsidR="007F17A1" w:rsidRPr="007F17A1" w:rsidRDefault="007F17A1" w:rsidP="007F17A1">
      <w:pPr>
        <w:pStyle w:val="Caption"/>
        <w:jc w:val="center"/>
        <w:rPr>
          <w:b/>
          <w:i w:val="0"/>
        </w:rPr>
      </w:pPr>
      <w:r w:rsidRPr="007F17A1">
        <w:rPr>
          <w:b/>
          <w:i w:val="0"/>
        </w:rPr>
        <w:t xml:space="preserve">Figure </w:t>
      </w:r>
      <w:r w:rsidRPr="007F17A1">
        <w:rPr>
          <w:b/>
          <w:i w:val="0"/>
        </w:rPr>
        <w:fldChar w:fldCharType="begin"/>
      </w:r>
      <w:r w:rsidRPr="007F17A1">
        <w:rPr>
          <w:b/>
          <w:i w:val="0"/>
        </w:rPr>
        <w:instrText xml:space="preserve"> SEQ Figure \* ARABIC </w:instrText>
      </w:r>
      <w:r w:rsidRPr="007F17A1">
        <w:rPr>
          <w:b/>
          <w:i w:val="0"/>
        </w:rPr>
        <w:fldChar w:fldCharType="separate"/>
      </w:r>
      <w:r w:rsidRPr="007F17A1">
        <w:rPr>
          <w:b/>
          <w:i w:val="0"/>
          <w:noProof/>
        </w:rPr>
        <w:t>1</w:t>
      </w:r>
      <w:r w:rsidRPr="007F17A1">
        <w:rPr>
          <w:b/>
          <w:i w:val="0"/>
        </w:rPr>
        <w:fldChar w:fldCharType="end"/>
      </w:r>
      <w:r w:rsidRPr="007F17A1">
        <w:rPr>
          <w:b/>
          <w:i w:val="0"/>
        </w:rPr>
        <w:t>. Illustrati</w:t>
      </w:r>
      <w:r w:rsidR="00757AB4">
        <w:rPr>
          <w:b/>
          <w:i w:val="0"/>
        </w:rPr>
        <w:t>ng</w:t>
      </w:r>
      <w:r w:rsidRPr="007F17A1">
        <w:rPr>
          <w:b/>
          <w:i w:val="0"/>
        </w:rPr>
        <w:t xml:space="preserve"> SCS-specific PRB grid</w:t>
      </w:r>
      <w:r w:rsidR="00757AB4">
        <w:rPr>
          <w:b/>
          <w:i w:val="0"/>
        </w:rPr>
        <w:t>s (using 15/30 kHz)</w:t>
      </w:r>
      <w:r w:rsidRPr="007F17A1">
        <w:rPr>
          <w:b/>
          <w:i w:val="0"/>
        </w:rPr>
        <w:t xml:space="preserve">, CORESET#0 </w:t>
      </w:r>
      <w:r w:rsidR="00757AB4">
        <w:rPr>
          <w:b/>
          <w:i w:val="0"/>
        </w:rPr>
        <w:t xml:space="preserve">(using 15 kHz) </w:t>
      </w:r>
      <w:r w:rsidRPr="007F17A1">
        <w:rPr>
          <w:b/>
          <w:i w:val="0"/>
        </w:rPr>
        <w:t>and initial BWP</w:t>
      </w:r>
      <w:r w:rsidR="00757AB4">
        <w:rPr>
          <w:b/>
          <w:i w:val="0"/>
        </w:rPr>
        <w:t xml:space="preserve"> (using 15 kHz)</w:t>
      </w:r>
    </w:p>
    <w:p w14:paraId="3DAE835B" w14:textId="72AA95AD" w:rsidR="004E3CBB" w:rsidRDefault="004E3CBB" w:rsidP="006D1FF2">
      <w:r>
        <w:t xml:space="preserve">As is visible in the figure, the SCS-specific PRB grid is not determining either the transmission or the reception </w:t>
      </w:r>
      <w:r w:rsidR="008036B5">
        <w:t xml:space="preserve">RF </w:t>
      </w:r>
      <w:r>
        <w:t>bandwidth</w:t>
      </w:r>
      <w:r w:rsidR="008036B5">
        <w:t xml:space="preserve"> for the UE</w:t>
      </w:r>
      <w:r>
        <w:t>: It just determines the PRB boundaries that the other parameters point to.</w:t>
      </w:r>
    </w:p>
    <w:p w14:paraId="21314421" w14:textId="62EEF36E" w:rsidR="007F17A1" w:rsidRDefault="007F17A1" w:rsidP="006D1FF2">
      <w:r w:rsidRPr="007F17A1">
        <w:rPr>
          <w:b/>
        </w:rPr>
        <w:t>Observation 2:</w:t>
      </w:r>
      <w:r>
        <w:t xml:space="preserve"> The SCS-specific carrier bandwidth information is used in IDLE mode for determining where the PRB grid is located for the used BWP.</w:t>
      </w:r>
    </w:p>
    <w:p w14:paraId="4AAE5034" w14:textId="26615697" w:rsidR="00757AB4" w:rsidRPr="00357A3F" w:rsidRDefault="00757AB4" w:rsidP="00757AB4">
      <w:pPr>
        <w:pStyle w:val="Heading2"/>
      </w:pPr>
      <w:r>
        <w:t>2.3</w:t>
      </w:r>
      <w:r>
        <w:tab/>
      </w:r>
      <w:r w:rsidRPr="00757AB4">
        <w:t xml:space="preserve">UE bandwidth configuration </w:t>
      </w:r>
      <w:r>
        <w:t xml:space="preserve">in RRC_CONNECTED </w:t>
      </w:r>
    </w:p>
    <w:p w14:paraId="7EDB765E" w14:textId="0536C5E7" w:rsidR="004E3CBB" w:rsidRDefault="004E3CBB" w:rsidP="004E3CBB">
      <w:r>
        <w:t xml:space="preserve">When UE has finished initial access, it will be operating under a BWP configured by RRC. Initially, this would likely be the same as the initial BWP configured in SIB1, but the network is free to (re)configure the BWP according to the UE capabilities either by modifying the bandwidth of the active BWP (either via explicit BW reconfiguration </w:t>
      </w:r>
      <w:r w:rsidR="008036B5">
        <w:t xml:space="preserve">or </w:t>
      </w:r>
      <w:r>
        <w:t>via BWP change). This is also stated in the RAN2 LS as per the following text below:</w:t>
      </w:r>
    </w:p>
    <w:p w14:paraId="45AB8DE7" w14:textId="77777777" w:rsidR="004E3CBB" w:rsidRDefault="004E3CBB" w:rsidP="00660C89">
      <w:pPr>
        <w:numPr>
          <w:ilvl w:val="0"/>
          <w:numId w:val="8"/>
        </w:numPr>
        <w:spacing w:after="0"/>
        <w:jc w:val="both"/>
        <w:rPr>
          <w:rFonts w:ascii="Arial" w:hAnsi="Arial" w:cs="Arial"/>
          <w:lang w:val="en-US" w:eastAsia="ja-JP"/>
        </w:rPr>
      </w:pPr>
      <w:r w:rsidRPr="00953B85">
        <w:rPr>
          <w:rFonts w:ascii="Arial" w:hAnsi="Arial" w:cs="Arial"/>
          <w:b/>
          <w:lang w:val="en-US" w:eastAsia="ja-JP"/>
        </w:rPr>
        <w:t xml:space="preserve">Bandwidth indicated by </w:t>
      </w:r>
      <w:r w:rsidRPr="00B169DF">
        <w:rPr>
          <w:rFonts w:ascii="Arial" w:hAnsi="Arial" w:cs="Arial"/>
          <w:b/>
          <w:i/>
          <w:lang w:val="en-US" w:eastAsia="ja-JP"/>
        </w:rPr>
        <w:t>locationAndBandwidth</w:t>
      </w:r>
      <w:r w:rsidRPr="00B169DF">
        <w:rPr>
          <w:rFonts w:ascii="Arial" w:hAnsi="Arial" w:cs="Arial"/>
          <w:b/>
          <w:lang w:val="en-US" w:eastAsia="ja-JP"/>
        </w:rPr>
        <w:t xml:space="preserve"> </w:t>
      </w:r>
      <w:r>
        <w:rPr>
          <w:rFonts w:ascii="Arial" w:hAnsi="Arial" w:cs="Arial"/>
          <w:b/>
          <w:lang w:val="en-US" w:eastAsia="ja-JP"/>
        </w:rPr>
        <w:t>with</w:t>
      </w:r>
      <w:r w:rsidRPr="00B169DF">
        <w:rPr>
          <w:rFonts w:ascii="Arial" w:hAnsi="Arial" w:cs="Arial"/>
          <w:b/>
          <w:lang w:val="en-US" w:eastAsia="ja-JP"/>
        </w:rPr>
        <w:t>in BWP configuration</w:t>
      </w:r>
      <w:r>
        <w:rPr>
          <w:rFonts w:ascii="Arial" w:hAnsi="Arial" w:cs="Arial"/>
          <w:b/>
          <w:lang w:val="en-US" w:eastAsia="ja-JP"/>
        </w:rPr>
        <w:t xml:space="preserve"> of each serving cell</w:t>
      </w:r>
      <w:r w:rsidRPr="00B169DF">
        <w:rPr>
          <w:rFonts w:ascii="Arial" w:hAnsi="Arial" w:cs="Arial"/>
          <w:b/>
          <w:lang w:val="en-US" w:eastAsia="ja-JP"/>
        </w:rPr>
        <w:t>:</w:t>
      </w:r>
    </w:p>
    <w:p w14:paraId="616FB028" w14:textId="77777777" w:rsidR="004E3CBB" w:rsidRDefault="004E3CBB" w:rsidP="00660C89">
      <w:pPr>
        <w:numPr>
          <w:ilvl w:val="1"/>
          <w:numId w:val="8"/>
        </w:numPr>
        <w:spacing w:after="0"/>
        <w:jc w:val="both"/>
        <w:rPr>
          <w:rFonts w:ascii="Arial" w:hAnsi="Arial" w:cs="Arial"/>
          <w:lang w:val="en-US" w:eastAsia="ja-JP"/>
        </w:rPr>
      </w:pPr>
      <w:r>
        <w:rPr>
          <w:rFonts w:ascii="Arial" w:hAnsi="Arial" w:cs="Arial"/>
          <w:lang w:val="en-US" w:eastAsia="ja-JP"/>
        </w:rPr>
        <w:t>For initial BWP, cell specific parameter that is provided by</w:t>
      </w:r>
      <w:r w:rsidRPr="002E12BF">
        <w:rPr>
          <w:rFonts w:ascii="Arial" w:hAnsi="Arial" w:cs="Arial"/>
          <w:lang w:val="en-US" w:eastAsia="ja-JP"/>
        </w:rPr>
        <w:t xml:space="preserve"> </w:t>
      </w:r>
      <w:r>
        <w:rPr>
          <w:rFonts w:ascii="Arial" w:hAnsi="Arial" w:cs="Arial"/>
          <w:lang w:val="en-US" w:eastAsia="ja-JP"/>
        </w:rPr>
        <w:t xml:space="preserve">the IE </w:t>
      </w:r>
      <w:r w:rsidRPr="005B3F3A">
        <w:rPr>
          <w:rFonts w:ascii="Arial" w:hAnsi="Arial" w:cs="Arial"/>
          <w:i/>
          <w:lang w:val="en-US" w:eastAsia="ja-JP"/>
        </w:rPr>
        <w:t>ServingCellConfigCommonSIB</w:t>
      </w:r>
      <w:r>
        <w:rPr>
          <w:rFonts w:ascii="Arial" w:hAnsi="Arial" w:cs="Arial"/>
          <w:lang w:val="en-US" w:eastAsia="ja-JP"/>
        </w:rPr>
        <w:t xml:space="preserve"> in SIB1, and </w:t>
      </w:r>
      <w:r w:rsidRPr="008C1D41">
        <w:rPr>
          <w:rFonts w:ascii="Arial" w:hAnsi="Arial" w:cs="Arial"/>
          <w:highlight w:val="yellow"/>
          <w:lang w:val="en-US" w:eastAsia="ja-JP"/>
        </w:rPr>
        <w:t>can be (re)configured by dedicated signalling</w:t>
      </w:r>
      <w:r w:rsidRPr="002E12BF">
        <w:rPr>
          <w:rFonts w:ascii="Arial" w:hAnsi="Arial" w:cs="Arial"/>
          <w:lang w:val="en-US" w:eastAsia="ja-JP"/>
        </w:rPr>
        <w:t xml:space="preserve"> as part of the IE </w:t>
      </w:r>
      <w:r w:rsidRPr="002E12BF">
        <w:rPr>
          <w:rFonts w:ascii="Arial" w:hAnsi="Arial" w:cs="Arial"/>
          <w:i/>
          <w:lang w:val="en-US" w:eastAsia="ja-JP"/>
        </w:rPr>
        <w:t>ServingCellConfigCommon</w:t>
      </w:r>
      <w:r w:rsidRPr="002E12BF">
        <w:rPr>
          <w:rFonts w:ascii="Arial" w:hAnsi="Arial" w:cs="Arial"/>
          <w:lang w:val="en-US" w:eastAsia="ja-JP"/>
        </w:rPr>
        <w:t xml:space="preserve">, </w:t>
      </w:r>
      <w:r>
        <w:rPr>
          <w:rFonts w:ascii="Arial" w:hAnsi="Arial" w:cs="Arial"/>
          <w:lang w:val="en-US" w:eastAsia="ja-JP"/>
        </w:rPr>
        <w:t>which</w:t>
      </w:r>
      <w:r w:rsidRPr="002E12BF">
        <w:rPr>
          <w:rFonts w:ascii="Arial" w:hAnsi="Arial" w:cs="Arial"/>
          <w:lang w:val="en-US" w:eastAsia="ja-JP"/>
        </w:rPr>
        <w:t xml:space="preserve"> contains the same information </w:t>
      </w:r>
      <w:r>
        <w:rPr>
          <w:rFonts w:ascii="Arial" w:hAnsi="Arial" w:cs="Arial"/>
          <w:lang w:val="en-US" w:eastAsia="ja-JP"/>
        </w:rPr>
        <w:t xml:space="preserve">as </w:t>
      </w:r>
      <w:r w:rsidRPr="002E12BF">
        <w:rPr>
          <w:rFonts w:ascii="Arial" w:hAnsi="Arial" w:cs="Arial"/>
          <w:lang w:val="en-US" w:eastAsia="ja-JP"/>
        </w:rPr>
        <w:t xml:space="preserve">in SIB1. </w:t>
      </w:r>
    </w:p>
    <w:p w14:paraId="14C5D530" w14:textId="77777777" w:rsidR="004E3CBB" w:rsidRDefault="004E3CBB" w:rsidP="00660C89">
      <w:pPr>
        <w:numPr>
          <w:ilvl w:val="1"/>
          <w:numId w:val="8"/>
        </w:numPr>
        <w:spacing w:after="0"/>
        <w:jc w:val="both"/>
        <w:rPr>
          <w:rFonts w:ascii="Arial" w:hAnsi="Arial" w:cs="Arial"/>
          <w:lang w:val="en-US" w:eastAsia="ja-JP"/>
        </w:rPr>
      </w:pPr>
      <w:r>
        <w:rPr>
          <w:rFonts w:ascii="Arial" w:hAnsi="Arial" w:cs="Arial"/>
          <w:lang w:val="en-US" w:eastAsia="ja-JP"/>
        </w:rPr>
        <w:t xml:space="preserve">For other BWP, </w:t>
      </w:r>
      <w:r w:rsidRPr="008C1D41">
        <w:rPr>
          <w:rFonts w:ascii="Arial" w:hAnsi="Arial" w:cs="Arial"/>
          <w:highlight w:val="yellow"/>
          <w:lang w:val="en-US" w:eastAsia="ja-JP"/>
        </w:rPr>
        <w:t>UE specific parameter provided by dedicated signaling</w:t>
      </w:r>
      <w:r>
        <w:rPr>
          <w:rFonts w:ascii="Arial" w:hAnsi="Arial" w:cs="Arial"/>
          <w:lang w:val="en-US" w:eastAsia="ja-JP"/>
        </w:rPr>
        <w:t xml:space="preserve"> as part of the IE </w:t>
      </w:r>
      <w:r w:rsidRPr="006B0005">
        <w:rPr>
          <w:rFonts w:ascii="Arial" w:hAnsi="Arial" w:cs="Arial"/>
          <w:i/>
          <w:lang w:val="en-US" w:eastAsia="ja-JP"/>
        </w:rPr>
        <w:t>ServingCellConfig</w:t>
      </w:r>
      <w:r>
        <w:rPr>
          <w:rFonts w:ascii="Arial" w:hAnsi="Arial" w:cs="Arial"/>
          <w:lang w:val="en-US" w:eastAsia="ja-JP"/>
        </w:rPr>
        <w:t>.</w:t>
      </w:r>
    </w:p>
    <w:p w14:paraId="4AA7B0DD" w14:textId="77777777" w:rsidR="004E3CBB" w:rsidRDefault="004E3CBB" w:rsidP="004E3CBB"/>
    <w:p w14:paraId="05F3B2BF" w14:textId="032BB539" w:rsidR="00660C89" w:rsidRDefault="004C10CF" w:rsidP="006D1FF2">
      <w:r>
        <w:t>A</w:t>
      </w:r>
      <w:r w:rsidR="008C1D41">
        <w:t xml:space="preserve">s </w:t>
      </w:r>
      <w:r w:rsidR="00660C89">
        <w:t>with</w:t>
      </w:r>
      <w:r w:rsidR="008C1D41">
        <w:t xml:space="preserve"> initial access, the SCS-specific PRB grid only works together with </w:t>
      </w:r>
      <w:r w:rsidR="000C5940">
        <w:t>t</w:t>
      </w:r>
      <w:r w:rsidR="008C1D41">
        <w:t xml:space="preserve">he actual BWP configuration: The situation described in Figure 1 applies fully also to any BWP, except that the CORESET position may not be considered (depending on UE capabilities). And since the BWP bandwidth can be reconfigured (by changing the value of the field </w:t>
      </w:r>
      <w:r w:rsidR="008C1D41" w:rsidRPr="008C1D41">
        <w:rPr>
          <w:i/>
        </w:rPr>
        <w:t>locationAndBandwidth</w:t>
      </w:r>
      <w:r w:rsidR="008C1D41">
        <w:t xml:space="preserve"> configured within BWP configuration), network can always configure </w:t>
      </w:r>
      <w:r w:rsidR="00660C89">
        <w:t>the bandwidth based on UE capabilities in a UE-specific manner (i.e. not all UEs might be configured to use the same bandwidth).</w:t>
      </w:r>
    </w:p>
    <w:p w14:paraId="1A7CDF12" w14:textId="438672AE" w:rsidR="00660C89" w:rsidRDefault="00660C89" w:rsidP="00660C89">
      <w:r w:rsidRPr="008C1D41">
        <w:rPr>
          <w:b/>
        </w:rPr>
        <w:t>Observation 3:</w:t>
      </w:r>
      <w:r>
        <w:t xml:space="preserve"> For UE in RRC_CONNECTED, the BWP bandwidth can be reconfigured by the network according to UE capabilities.</w:t>
      </w:r>
    </w:p>
    <w:p w14:paraId="23B980E9" w14:textId="129A3ABD" w:rsidR="00757AB4" w:rsidRPr="00357A3F" w:rsidRDefault="00757AB4" w:rsidP="00757AB4">
      <w:pPr>
        <w:pStyle w:val="Heading2"/>
      </w:pPr>
      <w:r>
        <w:t>2.3</w:t>
      </w:r>
      <w:r>
        <w:tab/>
        <w:t>Determining the BWP bandwidth</w:t>
      </w:r>
    </w:p>
    <w:p w14:paraId="7F44C447" w14:textId="735F4C03" w:rsidR="000C60F4" w:rsidRPr="00AB1B6B" w:rsidRDefault="00660C89" w:rsidP="0014566A">
      <w:pPr>
        <w:rPr>
          <w:lang w:val="en-US"/>
        </w:rPr>
      </w:pPr>
      <w:r>
        <w:t xml:space="preserve">The BWP bandwidth is determined according to the RAN2 parameter </w:t>
      </w:r>
      <w:r w:rsidRPr="00F11F08">
        <w:rPr>
          <w:i/>
        </w:rPr>
        <w:t>locationAndBandwidth</w:t>
      </w:r>
      <w:r>
        <w:t xml:space="preserve">, which is interpreted according to the RIV definition in TS38.213. </w:t>
      </w:r>
      <w:r w:rsidR="004F112B">
        <w:t>Since the RIV is also used for scheduling, it is always possible to determine the term L</w:t>
      </w:r>
      <w:r w:rsidR="004F112B" w:rsidRPr="004F112B">
        <w:rPr>
          <w:vertAlign w:val="subscript"/>
        </w:rPr>
        <w:t>RBs</w:t>
      </w:r>
      <w:r w:rsidR="004F112B">
        <w:t xml:space="preserve"> (i.e. the amount of RBs in the BWP) from that</w:t>
      </w:r>
      <w:r w:rsidR="0014566A">
        <w:t>.</w:t>
      </w:r>
      <w:r w:rsidR="00757AB4">
        <w:t xml:space="preserve"> Therefore, the BWP </w:t>
      </w:r>
      <w:r w:rsidR="00C20DB1">
        <w:t>always corresponds to the</w:t>
      </w:r>
      <w:r w:rsidR="00757AB4">
        <w:t xml:space="preserve"> </w:t>
      </w:r>
      <w:r w:rsidR="00C20DB1">
        <w:t xml:space="preserve">maximum </w:t>
      </w:r>
      <w:r w:rsidR="00757AB4">
        <w:t>number of PRBs</w:t>
      </w:r>
      <w:r w:rsidR="00C20DB1">
        <w:t xml:space="preserve"> that could be scheduled for PDSCH.</w:t>
      </w:r>
    </w:p>
    <w:p w14:paraId="4F8DD676" w14:textId="29F410F1" w:rsidR="00085623" w:rsidRDefault="00085623" w:rsidP="00660C89">
      <w:r w:rsidRPr="00085623">
        <w:rPr>
          <w:b/>
        </w:rPr>
        <w:lastRenderedPageBreak/>
        <w:t>Observation 4:</w:t>
      </w:r>
      <w:r>
        <w:t xml:space="preserve"> Since the </w:t>
      </w:r>
      <w:r w:rsidRPr="00085623">
        <w:rPr>
          <w:i/>
        </w:rPr>
        <w:t>locationAndBandwidth</w:t>
      </w:r>
      <w:r>
        <w:t xml:space="preserve"> is encoded as RIV, it is always possible to determine the L</w:t>
      </w:r>
      <w:r w:rsidRPr="00085623">
        <w:rPr>
          <w:vertAlign w:val="subscript"/>
        </w:rPr>
        <w:t>RBs</w:t>
      </w:r>
      <w:r>
        <w:t xml:space="preserve"> from that in the same way as the RIV is used to determine the used bandwidth for PDSCH.</w:t>
      </w:r>
    </w:p>
    <w:p w14:paraId="43A12B72" w14:textId="566ACA16" w:rsidR="00CD4C7B" w:rsidRPr="006E13D1" w:rsidRDefault="00085623" w:rsidP="00CD4C7B">
      <w:pPr>
        <w:pStyle w:val="Heading1"/>
      </w:pPr>
      <w:r>
        <w:t>3</w:t>
      </w:r>
      <w:r w:rsidR="00CD4C7B" w:rsidRPr="006E13D1">
        <w:tab/>
      </w:r>
      <w:r>
        <w:t>Conclusions</w:t>
      </w:r>
    </w:p>
    <w:p w14:paraId="5524F183" w14:textId="44C48833" w:rsidR="00CD4C7B" w:rsidRPr="006E13D1" w:rsidRDefault="002C7553" w:rsidP="00085623">
      <w:r>
        <w:t xml:space="preserve">In this paper, we discussed the RRC signalling that may be mapped to UE channel bandwidth in RAN4. The following observations are </w:t>
      </w:r>
      <w:r w:rsidR="00D07484">
        <w:t>summarized</w:t>
      </w:r>
      <w:r>
        <w:t xml:space="preserve"> for the further discussion in RAN4</w:t>
      </w:r>
      <w:r w:rsidR="00C20DB1">
        <w:t xml:space="preserve"> to better clarify the details included in the RAN2 LS [1]</w:t>
      </w:r>
      <w:r>
        <w:t>.</w:t>
      </w:r>
    </w:p>
    <w:p w14:paraId="62C44D4D" w14:textId="61EA4D5D" w:rsidR="00757AB4" w:rsidRDefault="00757AB4" w:rsidP="00757AB4">
      <w:r w:rsidRPr="00357A3F">
        <w:rPr>
          <w:b/>
        </w:rPr>
        <w:t>Observation 0:</w:t>
      </w:r>
      <w:r>
        <w:t xml:space="preserve"> RAN2 LS considers two cases: UE operation during initial access and UE </w:t>
      </w:r>
      <w:r w:rsidR="00F11F08">
        <w:t>operating</w:t>
      </w:r>
      <w:r>
        <w:t xml:space="preserve"> in RRC_CONNECTED</w:t>
      </w:r>
    </w:p>
    <w:p w14:paraId="1B2D3B53" w14:textId="2442B6CB" w:rsidR="002C7553" w:rsidRDefault="002C7553" w:rsidP="002C7553">
      <w:r w:rsidRPr="001C1C3E">
        <w:rPr>
          <w:b/>
        </w:rPr>
        <w:t>Observation 1:</w:t>
      </w:r>
      <w:r>
        <w:t xml:space="preserve"> During initial access, UE determines the used bandwidth based on BWP configuration provided in MIB/SIB1.</w:t>
      </w:r>
    </w:p>
    <w:p w14:paraId="683A2A46" w14:textId="77777777" w:rsidR="002C7553" w:rsidRDefault="002C7553" w:rsidP="002C7553">
      <w:r w:rsidRPr="007F17A1">
        <w:rPr>
          <w:b/>
        </w:rPr>
        <w:t>Observation 2:</w:t>
      </w:r>
      <w:r>
        <w:t xml:space="preserve"> The SCS-specific carrier bandwidth information is used in IDLE mode for determining where the PRB grid is located for the used BWP.</w:t>
      </w:r>
    </w:p>
    <w:p w14:paraId="0B502262" w14:textId="77777777" w:rsidR="002C7553" w:rsidRDefault="002C7553" w:rsidP="002C7553">
      <w:r w:rsidRPr="008C1D41">
        <w:rPr>
          <w:b/>
        </w:rPr>
        <w:t>Observation 3:</w:t>
      </w:r>
      <w:r>
        <w:t xml:space="preserve"> For UE in RRC_CONNECTED, the BWP bandwidth can be reconfigured by the network according to UE capabilities.</w:t>
      </w:r>
    </w:p>
    <w:p w14:paraId="2E6B5F77" w14:textId="74289696" w:rsidR="002C7553" w:rsidRDefault="002C7553" w:rsidP="002C7553">
      <w:r w:rsidRPr="00085623">
        <w:rPr>
          <w:b/>
        </w:rPr>
        <w:t>Observation 4:</w:t>
      </w:r>
      <w:r>
        <w:t xml:space="preserve"> Since the </w:t>
      </w:r>
      <w:r w:rsidRPr="00085623">
        <w:rPr>
          <w:i/>
        </w:rPr>
        <w:t>locationAndBandwidth</w:t>
      </w:r>
      <w:r>
        <w:t xml:space="preserve"> is encoded as RIV, it is always possible to determine the L</w:t>
      </w:r>
      <w:r w:rsidRPr="00085623">
        <w:rPr>
          <w:vertAlign w:val="subscript"/>
        </w:rPr>
        <w:t>RBs</w:t>
      </w:r>
      <w:r>
        <w:t xml:space="preserve"> from that in the same way as the RIV is used to determine the used bandwidth for PDSCH.</w:t>
      </w:r>
    </w:p>
    <w:p w14:paraId="055200B7" w14:textId="696CCB43" w:rsidR="00CD4C7B" w:rsidRDefault="00CD4C7B" w:rsidP="00CD4C7B"/>
    <w:p w14:paraId="6658C3F1" w14:textId="77777777" w:rsidR="00AE4957" w:rsidRDefault="00AE4957" w:rsidP="00AE4957">
      <w:pPr>
        <w:pStyle w:val="Heading1"/>
        <w:rPr>
          <w:lang w:val="en-US"/>
        </w:rPr>
      </w:pPr>
      <w:r>
        <w:rPr>
          <w:lang w:val="en-US"/>
        </w:rPr>
        <w:t>4</w:t>
      </w:r>
      <w:r>
        <w:rPr>
          <w:lang w:val="en-US"/>
        </w:rPr>
        <w:tab/>
        <w:t>References</w:t>
      </w:r>
    </w:p>
    <w:p w14:paraId="62C2044E" w14:textId="4FF6AFA1" w:rsidR="00AE4957" w:rsidRDefault="00AE4957" w:rsidP="00AE4957">
      <w:pPr>
        <w:rPr>
          <w:bCs/>
        </w:rPr>
      </w:pPr>
      <w:r>
        <w:rPr>
          <w:bCs/>
        </w:rPr>
        <w:t xml:space="preserve">[1] </w:t>
      </w:r>
      <w:r w:rsidRPr="00946DD4">
        <w:rPr>
          <w:bCs/>
        </w:rPr>
        <w:t>R2-1816067</w:t>
      </w:r>
      <w:r>
        <w:rPr>
          <w:bCs/>
        </w:rPr>
        <w:t xml:space="preserve">, </w:t>
      </w:r>
      <w:r w:rsidRPr="00C635EA">
        <w:rPr>
          <w:bCs/>
        </w:rPr>
        <w:t>Reply LS on RAN4 design on channel bandwidth</w:t>
      </w:r>
    </w:p>
    <w:p w14:paraId="0A4667ED" w14:textId="751F1711" w:rsidR="00303412" w:rsidRDefault="00303412" w:rsidP="00AE4957">
      <w:pPr>
        <w:rPr>
          <w:bCs/>
        </w:rPr>
      </w:pPr>
      <w:r>
        <w:rPr>
          <w:bCs/>
        </w:rPr>
        <w:t>[2] R4-181</w:t>
      </w:r>
      <w:r w:rsidR="00E0466C">
        <w:rPr>
          <w:bCs/>
        </w:rPr>
        <w:t>4860</w:t>
      </w:r>
      <w:r>
        <w:rPr>
          <w:bCs/>
        </w:rPr>
        <w:t xml:space="preserve">, </w:t>
      </w:r>
      <w:r w:rsidRPr="00303412">
        <w:rPr>
          <w:bCs/>
        </w:rPr>
        <w:t>Carrier bandwidth configurations and RF requirement</w:t>
      </w:r>
      <w:r>
        <w:rPr>
          <w:bCs/>
        </w:rPr>
        <w:t>, Nokia, Nokia Shanghai Bell</w:t>
      </w:r>
    </w:p>
    <w:p w14:paraId="09241468" w14:textId="77777777" w:rsidR="00303412" w:rsidRPr="00B97190" w:rsidRDefault="00303412" w:rsidP="00AE4957"/>
    <w:p w14:paraId="0DBEA8A7" w14:textId="77777777" w:rsidR="00AE4957" w:rsidRDefault="00AE4957" w:rsidP="00CD4C7B"/>
    <w:sectPr w:rsidR="00AE495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D0892" w14:textId="77777777" w:rsidR="00786A13" w:rsidRDefault="00786A13">
      <w:r>
        <w:separator/>
      </w:r>
    </w:p>
  </w:endnote>
  <w:endnote w:type="continuationSeparator" w:id="0">
    <w:p w14:paraId="3790F191" w14:textId="77777777" w:rsidR="00786A13" w:rsidRDefault="0078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955BC" w14:textId="77777777" w:rsidR="00786A13" w:rsidRDefault="00786A13">
      <w:r>
        <w:separator/>
      </w:r>
    </w:p>
  </w:footnote>
  <w:footnote w:type="continuationSeparator" w:id="0">
    <w:p w14:paraId="53E081FF" w14:textId="77777777" w:rsidR="00786A13" w:rsidRDefault="00786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02CF6"/>
    <w:multiLevelType w:val="hybridMultilevel"/>
    <w:tmpl w:val="A23417A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2E4775"/>
    <w:multiLevelType w:val="hybridMultilevel"/>
    <w:tmpl w:val="6422CC86"/>
    <w:lvl w:ilvl="0" w:tplc="A3FA5E4E">
      <w:start w:val="5"/>
      <w:numFmt w:val="bullet"/>
      <w:lvlText w:val=""/>
      <w:lvlJc w:val="left"/>
      <w:pPr>
        <w:ind w:left="1080" w:hanging="360"/>
      </w:pPr>
      <w:rPr>
        <w:rFonts w:ascii="Symbol" w:eastAsia="MS Mincho"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520CCA"/>
    <w:multiLevelType w:val="hybridMultilevel"/>
    <w:tmpl w:val="A23417A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3B2B0E"/>
    <w:multiLevelType w:val="hybridMultilevel"/>
    <w:tmpl w:val="E0DC1C86"/>
    <w:lvl w:ilvl="0" w:tplc="28046FEE">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B2C5E3E"/>
    <w:multiLevelType w:val="hybridMultilevel"/>
    <w:tmpl w:val="62EC83D6"/>
    <w:lvl w:ilvl="0" w:tplc="2B885D58">
      <w:start w:val="1"/>
      <w:numFmt w:val="bullet"/>
      <w:lvlText w:val="•"/>
      <w:lvlJc w:val="left"/>
      <w:pPr>
        <w:tabs>
          <w:tab w:val="num" w:pos="720"/>
        </w:tabs>
        <w:ind w:left="720" w:hanging="360"/>
      </w:pPr>
      <w:rPr>
        <w:rFonts w:ascii="Arial" w:hAnsi="Arial" w:hint="default"/>
      </w:rPr>
    </w:lvl>
    <w:lvl w:ilvl="1" w:tplc="71BE2106">
      <w:start w:val="92"/>
      <w:numFmt w:val="bullet"/>
      <w:lvlText w:val=""/>
      <w:lvlJc w:val="left"/>
      <w:pPr>
        <w:tabs>
          <w:tab w:val="num" w:pos="1440"/>
        </w:tabs>
        <w:ind w:left="1440" w:hanging="360"/>
      </w:pPr>
      <w:rPr>
        <w:rFonts w:ascii="Wingdings" w:hAnsi="Wingdings" w:hint="default"/>
      </w:rPr>
    </w:lvl>
    <w:lvl w:ilvl="2" w:tplc="62164BB2">
      <w:start w:val="92"/>
      <w:numFmt w:val="bullet"/>
      <w:lvlText w:val=""/>
      <w:lvlJc w:val="left"/>
      <w:pPr>
        <w:tabs>
          <w:tab w:val="num" w:pos="2160"/>
        </w:tabs>
        <w:ind w:left="2160" w:hanging="360"/>
      </w:pPr>
      <w:rPr>
        <w:rFonts w:ascii="Wingdings" w:hAnsi="Wingdings" w:hint="default"/>
      </w:rPr>
    </w:lvl>
    <w:lvl w:ilvl="3" w:tplc="6DD63068" w:tentative="1">
      <w:start w:val="1"/>
      <w:numFmt w:val="bullet"/>
      <w:lvlText w:val="•"/>
      <w:lvlJc w:val="left"/>
      <w:pPr>
        <w:tabs>
          <w:tab w:val="num" w:pos="2880"/>
        </w:tabs>
        <w:ind w:left="2880" w:hanging="360"/>
      </w:pPr>
      <w:rPr>
        <w:rFonts w:ascii="Arial" w:hAnsi="Arial" w:hint="default"/>
      </w:rPr>
    </w:lvl>
    <w:lvl w:ilvl="4" w:tplc="6696E440" w:tentative="1">
      <w:start w:val="1"/>
      <w:numFmt w:val="bullet"/>
      <w:lvlText w:val="•"/>
      <w:lvlJc w:val="left"/>
      <w:pPr>
        <w:tabs>
          <w:tab w:val="num" w:pos="3600"/>
        </w:tabs>
        <w:ind w:left="3600" w:hanging="360"/>
      </w:pPr>
      <w:rPr>
        <w:rFonts w:ascii="Arial" w:hAnsi="Arial" w:hint="default"/>
      </w:rPr>
    </w:lvl>
    <w:lvl w:ilvl="5" w:tplc="EC2AC42C" w:tentative="1">
      <w:start w:val="1"/>
      <w:numFmt w:val="bullet"/>
      <w:lvlText w:val="•"/>
      <w:lvlJc w:val="left"/>
      <w:pPr>
        <w:tabs>
          <w:tab w:val="num" w:pos="4320"/>
        </w:tabs>
        <w:ind w:left="4320" w:hanging="360"/>
      </w:pPr>
      <w:rPr>
        <w:rFonts w:ascii="Arial" w:hAnsi="Arial" w:hint="default"/>
      </w:rPr>
    </w:lvl>
    <w:lvl w:ilvl="6" w:tplc="847271CC" w:tentative="1">
      <w:start w:val="1"/>
      <w:numFmt w:val="bullet"/>
      <w:lvlText w:val="•"/>
      <w:lvlJc w:val="left"/>
      <w:pPr>
        <w:tabs>
          <w:tab w:val="num" w:pos="5040"/>
        </w:tabs>
        <w:ind w:left="5040" w:hanging="360"/>
      </w:pPr>
      <w:rPr>
        <w:rFonts w:ascii="Arial" w:hAnsi="Arial" w:hint="default"/>
      </w:rPr>
    </w:lvl>
    <w:lvl w:ilvl="7" w:tplc="10946576" w:tentative="1">
      <w:start w:val="1"/>
      <w:numFmt w:val="bullet"/>
      <w:lvlText w:val="•"/>
      <w:lvlJc w:val="left"/>
      <w:pPr>
        <w:tabs>
          <w:tab w:val="num" w:pos="5760"/>
        </w:tabs>
        <w:ind w:left="5760" w:hanging="360"/>
      </w:pPr>
      <w:rPr>
        <w:rFonts w:ascii="Arial" w:hAnsi="Arial" w:hint="default"/>
      </w:rPr>
    </w:lvl>
    <w:lvl w:ilvl="8" w:tplc="C8807E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E4F18AC"/>
    <w:multiLevelType w:val="hybridMultilevel"/>
    <w:tmpl w:val="E2FA1578"/>
    <w:lvl w:ilvl="0" w:tplc="331C2B7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8"/>
  </w:num>
  <w:num w:numId="7">
    <w:abstractNumId w:val="2"/>
  </w:num>
  <w:num w:numId="8">
    <w:abstractNumId w:val="6"/>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78D6"/>
    <w:rsid w:val="00033397"/>
    <w:rsid w:val="00033C74"/>
    <w:rsid w:val="00040095"/>
    <w:rsid w:val="00080512"/>
    <w:rsid w:val="000811E1"/>
    <w:rsid w:val="00085623"/>
    <w:rsid w:val="00090468"/>
    <w:rsid w:val="000B7BCF"/>
    <w:rsid w:val="000C522B"/>
    <w:rsid w:val="000C5940"/>
    <w:rsid w:val="000C60F4"/>
    <w:rsid w:val="000D58AB"/>
    <w:rsid w:val="00112F1A"/>
    <w:rsid w:val="00123219"/>
    <w:rsid w:val="00132894"/>
    <w:rsid w:val="00145075"/>
    <w:rsid w:val="0014566A"/>
    <w:rsid w:val="0016139E"/>
    <w:rsid w:val="001741A0"/>
    <w:rsid w:val="00175FA0"/>
    <w:rsid w:val="00176D27"/>
    <w:rsid w:val="001923F0"/>
    <w:rsid w:val="00194CD0"/>
    <w:rsid w:val="001B49C9"/>
    <w:rsid w:val="001C1C3E"/>
    <w:rsid w:val="001C4F79"/>
    <w:rsid w:val="001F168B"/>
    <w:rsid w:val="001F7831"/>
    <w:rsid w:val="00204045"/>
    <w:rsid w:val="0020712B"/>
    <w:rsid w:val="0022606D"/>
    <w:rsid w:val="00231728"/>
    <w:rsid w:val="002610D8"/>
    <w:rsid w:val="002747EC"/>
    <w:rsid w:val="002855BF"/>
    <w:rsid w:val="002C7553"/>
    <w:rsid w:val="002F0D22"/>
    <w:rsid w:val="00303412"/>
    <w:rsid w:val="003172DC"/>
    <w:rsid w:val="00325AE3"/>
    <w:rsid w:val="00326069"/>
    <w:rsid w:val="0035462D"/>
    <w:rsid w:val="00364B41"/>
    <w:rsid w:val="00394FC4"/>
    <w:rsid w:val="003A41EF"/>
    <w:rsid w:val="003B40AD"/>
    <w:rsid w:val="003C4E37"/>
    <w:rsid w:val="003E16BE"/>
    <w:rsid w:val="003F4D38"/>
    <w:rsid w:val="003F4E28"/>
    <w:rsid w:val="004006E8"/>
    <w:rsid w:val="00401855"/>
    <w:rsid w:val="004216BE"/>
    <w:rsid w:val="0042433F"/>
    <w:rsid w:val="004715BB"/>
    <w:rsid w:val="00477455"/>
    <w:rsid w:val="004975BF"/>
    <w:rsid w:val="004A1F7B"/>
    <w:rsid w:val="004B1697"/>
    <w:rsid w:val="004C10CF"/>
    <w:rsid w:val="004C44D2"/>
    <w:rsid w:val="004D3578"/>
    <w:rsid w:val="004D380D"/>
    <w:rsid w:val="004E213A"/>
    <w:rsid w:val="004E349F"/>
    <w:rsid w:val="004E3CBB"/>
    <w:rsid w:val="004F112B"/>
    <w:rsid w:val="004F19D5"/>
    <w:rsid w:val="00503171"/>
    <w:rsid w:val="00506C28"/>
    <w:rsid w:val="00534DA0"/>
    <w:rsid w:val="00543E6C"/>
    <w:rsid w:val="00565087"/>
    <w:rsid w:val="0056573F"/>
    <w:rsid w:val="00580DE5"/>
    <w:rsid w:val="00611566"/>
    <w:rsid w:val="00646D99"/>
    <w:rsid w:val="00656910"/>
    <w:rsid w:val="00660C89"/>
    <w:rsid w:val="00697030"/>
    <w:rsid w:val="00697DB1"/>
    <w:rsid w:val="006C66D8"/>
    <w:rsid w:val="006D1E24"/>
    <w:rsid w:val="006D1FF2"/>
    <w:rsid w:val="006E1417"/>
    <w:rsid w:val="006F6A2C"/>
    <w:rsid w:val="00710201"/>
    <w:rsid w:val="00717F31"/>
    <w:rsid w:val="007342B5"/>
    <w:rsid w:val="00734A5B"/>
    <w:rsid w:val="00744E76"/>
    <w:rsid w:val="00757AB4"/>
    <w:rsid w:val="00757D40"/>
    <w:rsid w:val="00781F0F"/>
    <w:rsid w:val="00786A13"/>
    <w:rsid w:val="0078727C"/>
    <w:rsid w:val="0079049D"/>
    <w:rsid w:val="00793DC5"/>
    <w:rsid w:val="007B18D8"/>
    <w:rsid w:val="007C095F"/>
    <w:rsid w:val="007C2DD0"/>
    <w:rsid w:val="007C34CC"/>
    <w:rsid w:val="007F17A1"/>
    <w:rsid w:val="008028A4"/>
    <w:rsid w:val="008036B5"/>
    <w:rsid w:val="00813245"/>
    <w:rsid w:val="008768CA"/>
    <w:rsid w:val="00877EF9"/>
    <w:rsid w:val="00880559"/>
    <w:rsid w:val="008B5306"/>
    <w:rsid w:val="008C1D41"/>
    <w:rsid w:val="008D2E4D"/>
    <w:rsid w:val="008F396F"/>
    <w:rsid w:val="0090271F"/>
    <w:rsid w:val="00902DB9"/>
    <w:rsid w:val="0090466A"/>
    <w:rsid w:val="00934027"/>
    <w:rsid w:val="00936071"/>
    <w:rsid w:val="00940212"/>
    <w:rsid w:val="00942EC2"/>
    <w:rsid w:val="00946DD4"/>
    <w:rsid w:val="00961B32"/>
    <w:rsid w:val="00970DB3"/>
    <w:rsid w:val="00971A8C"/>
    <w:rsid w:val="00974BB0"/>
    <w:rsid w:val="009A0AF3"/>
    <w:rsid w:val="009A3D9C"/>
    <w:rsid w:val="009B07CD"/>
    <w:rsid w:val="009C19E9"/>
    <w:rsid w:val="009D74A6"/>
    <w:rsid w:val="00A10F02"/>
    <w:rsid w:val="00A204CA"/>
    <w:rsid w:val="00A31774"/>
    <w:rsid w:val="00A53724"/>
    <w:rsid w:val="00A82346"/>
    <w:rsid w:val="00A9671C"/>
    <w:rsid w:val="00AA1553"/>
    <w:rsid w:val="00AB1B6B"/>
    <w:rsid w:val="00AE4957"/>
    <w:rsid w:val="00AE53EF"/>
    <w:rsid w:val="00B008C6"/>
    <w:rsid w:val="00B05962"/>
    <w:rsid w:val="00B15449"/>
    <w:rsid w:val="00B27303"/>
    <w:rsid w:val="00B47FD1"/>
    <w:rsid w:val="00B516BB"/>
    <w:rsid w:val="00B8389C"/>
    <w:rsid w:val="00B8502C"/>
    <w:rsid w:val="00BC3555"/>
    <w:rsid w:val="00BF5FF0"/>
    <w:rsid w:val="00C12B51"/>
    <w:rsid w:val="00C20DB1"/>
    <w:rsid w:val="00C24650"/>
    <w:rsid w:val="00C25465"/>
    <w:rsid w:val="00C33079"/>
    <w:rsid w:val="00C83A13"/>
    <w:rsid w:val="00C87004"/>
    <w:rsid w:val="00C9068C"/>
    <w:rsid w:val="00C92967"/>
    <w:rsid w:val="00CA3D0C"/>
    <w:rsid w:val="00CA654B"/>
    <w:rsid w:val="00CB72B8"/>
    <w:rsid w:val="00CD4C7B"/>
    <w:rsid w:val="00D07484"/>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0466C"/>
    <w:rsid w:val="00E4492E"/>
    <w:rsid w:val="00E471CF"/>
    <w:rsid w:val="00E62835"/>
    <w:rsid w:val="00E77645"/>
    <w:rsid w:val="00E83697"/>
    <w:rsid w:val="00EA6DDF"/>
    <w:rsid w:val="00EC4A25"/>
    <w:rsid w:val="00F025A2"/>
    <w:rsid w:val="00F07388"/>
    <w:rsid w:val="00F11F0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3F4D38"/>
    <w:rPr>
      <w:color w:val="808080"/>
      <w:shd w:val="clear" w:color="auto" w:fill="E6E6E6"/>
    </w:rPr>
  </w:style>
  <w:style w:type="character" w:styleId="FollowedHyperlink">
    <w:name w:val="FollowedHyperlink"/>
    <w:basedOn w:val="DefaultParagraphFont"/>
    <w:rsid w:val="003F4D38"/>
    <w:rPr>
      <w:color w:val="954F72" w:themeColor="followedHyperlink"/>
      <w:u w:val="single"/>
    </w:rPr>
  </w:style>
  <w:style w:type="paragraph" w:styleId="ListParagraph">
    <w:name w:val="List Paragraph"/>
    <w:basedOn w:val="Normal"/>
    <w:uiPriority w:val="34"/>
    <w:qFormat/>
    <w:rsid w:val="006D1FF2"/>
    <w:pPr>
      <w:ind w:left="720"/>
      <w:contextualSpacing/>
    </w:pPr>
  </w:style>
  <w:style w:type="paragraph" w:styleId="Caption">
    <w:name w:val="caption"/>
    <w:basedOn w:val="Normal"/>
    <w:next w:val="Normal"/>
    <w:unhideWhenUsed/>
    <w:qFormat/>
    <w:rsid w:val="007F17A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900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8101-1.htm" TargetMode="External"/><Relationship Id="rId3" Type="http://schemas.openxmlformats.org/officeDocument/2006/relationships/settings" Target="settings.xml"/><Relationship Id="rId7" Type="http://schemas.openxmlformats.org/officeDocument/2006/relationships/hyperlink" Target="http://3gpp.org/ftp/tsg_ran/WG4_Radio/TSGR4_88/Docs/R4-181190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DynaReport/38101-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6887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2018-11-02T14:07:00Z</dcterms:created>
  <dcterms:modified xsi:type="dcterms:W3CDTF">2018-11-02T14:07:00Z</dcterms:modified>
</cp:coreProperties>
</file>